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536"/>
        <w:gridCol w:w="567"/>
        <w:gridCol w:w="4608"/>
      </w:tblGrid>
      <w:tr w:rsidR="00216C47" w:rsidRPr="00EC0796" w:rsidTr="00EC079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Pr="00EC0796" w:rsidRDefault="00334527" w:rsidP="00334527">
            <w:pPr>
              <w:pStyle w:val="CM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ОДЈЕЉЕЊЕ ЗА </w:t>
            </w:r>
          </w:p>
          <w:p w:rsidR="00334527" w:rsidRPr="00EC0796" w:rsidRDefault="00334527" w:rsidP="00334527">
            <w:pPr>
              <w:pStyle w:val="CM2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6A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EC079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ПРОСТОРНО УРЕЂЕЊЕ</w:t>
            </w:r>
            <w:r w:rsidRPr="00C96A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СТАМБЕНО-КОМУНАЛНЕ ПОСЛОВЕ</w:t>
            </w:r>
            <w:r w:rsidRPr="00EC079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</w:p>
          <w:p w:rsidR="00334527" w:rsidRPr="00C96A0B" w:rsidRDefault="00334527" w:rsidP="0033452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34527" w:rsidRPr="00C96A0B" w:rsidRDefault="00334527" w:rsidP="00334527">
            <w:pPr>
              <w:pStyle w:val="CM7"/>
              <w:spacing w:line="23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НАЧЕЛНИК</w:t>
            </w:r>
          </w:p>
          <w:p w:rsidR="00334527" w:rsidRPr="00C96A0B" w:rsidRDefault="00334527" w:rsidP="00334527">
            <w:pPr>
              <w:pStyle w:val="CM7"/>
              <w:spacing w:line="23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96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Слободан Гелић,</w:t>
            </w:r>
            <w:r w:rsidRPr="00EC07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дипл.инж.</w:t>
            </w:r>
            <w:r w:rsidRPr="00C96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арх</w:t>
            </w:r>
            <w:r w:rsidRPr="00EC07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. </w:t>
            </w:r>
          </w:p>
          <w:p w:rsidR="00334527" w:rsidRPr="00C96A0B" w:rsidRDefault="00334527" w:rsidP="00334527">
            <w:pPr>
              <w:pStyle w:val="CM7"/>
              <w:spacing w:line="23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Телефон: </w:t>
            </w:r>
            <w:r w:rsidRPr="00C96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051/784-235</w:t>
            </w:r>
          </w:p>
          <w:p w:rsidR="00334527" w:rsidRPr="00C96A0B" w:rsidRDefault="00334527" w:rsidP="00334527">
            <w:pPr>
              <w:pStyle w:val="CM7"/>
              <w:spacing w:line="23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96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Тел./факс: 051/785-460</w:t>
            </w:r>
            <w:r w:rsidRPr="00EC07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334527" w:rsidRPr="00C96A0B" w:rsidRDefault="00334527" w:rsidP="0033452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34527" w:rsidRPr="00EC0796" w:rsidRDefault="00334527" w:rsidP="00334527">
            <w:pPr>
              <w:pStyle w:val="CM7"/>
              <w:spacing w:line="23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96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</w:t>
            </w:r>
            <w:r w:rsidRPr="00EC07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-</w:t>
            </w:r>
            <w:r w:rsidRPr="00C96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mail</w:t>
            </w:r>
            <w:r w:rsidRPr="00EC07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: </w:t>
            </w:r>
            <w:r w:rsidRPr="00C96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slobodangelic@opstinakv.com</w:t>
            </w:r>
            <w:r w:rsidRPr="00EC07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334527" w:rsidRPr="00C96A0B" w:rsidRDefault="00334527" w:rsidP="0033452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34527" w:rsidRPr="00EC0796" w:rsidRDefault="00334527" w:rsidP="00334527">
            <w:pPr>
              <w:pStyle w:val="CM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Информације можете наћи и на </w:t>
            </w:r>
            <w:r w:rsidRPr="00C96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WEB</w:t>
            </w:r>
            <w:r w:rsidRPr="00EC07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 страници</w:t>
            </w:r>
            <w:r w:rsidRPr="00C96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 општине Котор Варош</w:t>
            </w:r>
            <w:r w:rsidRPr="00EC07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334527" w:rsidRPr="00EC0796" w:rsidRDefault="00334527" w:rsidP="00334527">
            <w:pPr>
              <w:pStyle w:val="CM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96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www</w:t>
            </w:r>
            <w:r w:rsidRPr="00EC07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.</w:t>
            </w:r>
            <w:proofErr w:type="spellStart"/>
            <w:r w:rsidRPr="00C96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opstinakotorvaros</w:t>
            </w:r>
            <w:proofErr w:type="spellEnd"/>
            <w:r w:rsidRPr="00EC07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.</w:t>
            </w:r>
            <w:r w:rsidRPr="00C96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com</w:t>
            </w:r>
          </w:p>
          <w:p w:rsidR="00334527" w:rsidRPr="00C96A0B" w:rsidRDefault="00334527" w:rsidP="0033452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34527" w:rsidRDefault="00334527" w:rsidP="00334527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               </w:t>
            </w:r>
            <w:r w:rsidRPr="00EC079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Издање бр. 01, Датум: </w:t>
            </w:r>
            <w:r w:rsidRPr="00C96A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април</w:t>
            </w:r>
            <w:r w:rsidRPr="00EC079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201</w:t>
            </w:r>
            <w:r w:rsidRPr="00C96A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  <w:r w:rsidRPr="00EC079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. </w:t>
            </w:r>
            <w:r w:rsidRPr="00C96A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  </w:t>
            </w:r>
          </w:p>
          <w:p w:rsidR="00334527" w:rsidRDefault="00334527" w:rsidP="00334527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96A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        </w:t>
            </w:r>
            <w:r w:rsidRPr="00EC079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Одобр</w:t>
            </w:r>
            <w:r w:rsidRPr="00C96A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ио</w:t>
            </w:r>
            <w:r w:rsidRPr="00EC079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: </w:t>
            </w:r>
            <w:r w:rsidRPr="00C96A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Слободан</w:t>
            </w:r>
            <w:r w:rsidRPr="00EC079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C96A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Гелић, дипл.инж.арх.</w:t>
            </w: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334527" w:rsidRPr="00C96A0B" w:rsidRDefault="00334527" w:rsidP="00C96A0B">
            <w:pPr>
              <w:pStyle w:val="Default"/>
              <w:spacing w:line="231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96A0B" w:rsidRPr="00C96A0B" w:rsidRDefault="00C96A0B" w:rsidP="001A102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C47" w:rsidRPr="00EC0796" w:rsidRDefault="00216C47" w:rsidP="001A102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F37B58" w:rsidP="00EC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C079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ОПШТИНА КОТОР ВАРОШ</w:t>
            </w:r>
          </w:p>
          <w:p w:rsidR="00F37B58" w:rsidRPr="00EC0796" w:rsidRDefault="00F37B58" w:rsidP="00EC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C079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ОПШТИНСКА УПРАВА</w:t>
            </w: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F37B58" w:rsidP="00EC07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Cyrl-CS"/>
              </w:rPr>
            </w:pPr>
            <w:r w:rsidRPr="00EC0796">
              <w:rPr>
                <w:rFonts w:ascii="Times New Roman" w:hAnsi="Times New Roman" w:cs="Times New Roman"/>
                <w:b/>
                <w:sz w:val="36"/>
                <w:szCs w:val="36"/>
                <w:lang w:val="sr-Cyrl-CS"/>
              </w:rPr>
              <w:t>КАКО ДОБИТИ</w:t>
            </w:r>
          </w:p>
          <w:p w:rsidR="00216C47" w:rsidRPr="00EC0796" w:rsidRDefault="00F37B58" w:rsidP="00EC07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Cyrl-CS"/>
              </w:rPr>
            </w:pPr>
            <w:r w:rsidRPr="00EC0796">
              <w:rPr>
                <w:rFonts w:ascii="Times New Roman" w:hAnsi="Times New Roman" w:cs="Times New Roman"/>
                <w:b/>
                <w:sz w:val="36"/>
                <w:szCs w:val="36"/>
                <w:lang w:val="sr-Cyrl-CS"/>
              </w:rPr>
              <w:t>УПОТРЕБНУ</w:t>
            </w:r>
          </w:p>
          <w:p w:rsidR="00216C47" w:rsidRPr="00EC0796" w:rsidRDefault="00F37B58" w:rsidP="00EC07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Cyrl-CS"/>
              </w:rPr>
            </w:pPr>
            <w:r w:rsidRPr="00EC0796">
              <w:rPr>
                <w:rFonts w:ascii="Times New Roman" w:hAnsi="Times New Roman" w:cs="Times New Roman"/>
                <w:b/>
                <w:sz w:val="36"/>
                <w:szCs w:val="36"/>
                <w:lang w:val="sr-Cyrl-CS"/>
              </w:rPr>
              <w:t>ДОЗВОЛУ</w:t>
            </w: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16C47" w:rsidRPr="00EC0796" w:rsidRDefault="00F37B58" w:rsidP="00EC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C079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ОДЈЕЊЕЊЕ ЗА</w:t>
            </w:r>
          </w:p>
          <w:p w:rsidR="00216C47" w:rsidRPr="00EC0796" w:rsidRDefault="00F37B58" w:rsidP="00EC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C079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ПРОСТОРНО УРЕЂЕЊЕ И</w:t>
            </w:r>
          </w:p>
          <w:p w:rsidR="00216C47" w:rsidRPr="00EC0796" w:rsidRDefault="001764A7" w:rsidP="00EC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C079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СТАМБЕНО-КОМУНАЛНЕ ПОСЛОВЕ</w:t>
            </w:r>
          </w:p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C47" w:rsidRPr="00EC0796" w:rsidRDefault="00216C47" w:rsidP="00EC0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B566C" w:rsidRPr="00EC0796" w:rsidRDefault="00231B06" w:rsidP="00231B06">
            <w:pPr>
              <w:pStyle w:val="CM11"/>
              <w:spacing w:line="23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ШТА ЈЕ УПОТРЕБНА </w:t>
            </w:r>
          </w:p>
          <w:p w:rsidR="00231B06" w:rsidRPr="00EC0796" w:rsidRDefault="00231B06" w:rsidP="00231B06">
            <w:pPr>
              <w:pStyle w:val="CM11"/>
              <w:spacing w:line="23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ДОЗВОЛА? </w:t>
            </w:r>
          </w:p>
          <w:p w:rsidR="00231B06" w:rsidRPr="00662A74" w:rsidRDefault="00231B06" w:rsidP="00231B06">
            <w:pPr>
              <w:rPr>
                <w:sz w:val="20"/>
                <w:szCs w:val="20"/>
                <w:lang w:val="sr-Cyrl-CS"/>
              </w:rPr>
            </w:pPr>
          </w:p>
          <w:p w:rsidR="00231B06" w:rsidRPr="00662A74" w:rsidRDefault="00231B06" w:rsidP="00231B06">
            <w:pPr>
              <w:pStyle w:val="CM11"/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Изграђени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објекат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почети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користити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односно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ставити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употребу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прије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што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надлежни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рјешењем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изда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употребну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основу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претходно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извршеног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техничког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прегледа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објекта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Употребна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дозвола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издати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цијели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објекат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дио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објекта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представља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засебну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техничку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функционалну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цјелину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исти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привести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својој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намјени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прије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завршетка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изградње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цијелог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објекта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случају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потребно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наставка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завршетка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изградње</w:t>
            </w:r>
            <w:proofErr w:type="spellEnd"/>
            <w:r w:rsidRPr="00662A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31B06" w:rsidRPr="00662A74" w:rsidRDefault="00231B06" w:rsidP="00231B0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0119" w:rsidRPr="00EC0796" w:rsidRDefault="00E00119" w:rsidP="00E00119">
            <w:pPr>
              <w:pStyle w:val="CM11"/>
              <w:spacing w:line="231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Захтјев за издавање употребне дозволе предаје се у </w:t>
            </w:r>
            <w:r w:rsidRPr="00662A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Пријемној канцеларији</w:t>
            </w: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 протокол или путем поште, са потребним документима. </w:t>
            </w:r>
          </w:p>
          <w:p w:rsidR="00231B06" w:rsidRPr="00662A74" w:rsidRDefault="00231B06" w:rsidP="00231B0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B566C" w:rsidRPr="00EC0796" w:rsidRDefault="008B566C" w:rsidP="008B566C">
            <w:pPr>
              <w:pStyle w:val="CM11"/>
              <w:spacing w:line="231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канцеларији </w:t>
            </w:r>
            <w:r w:rsidRPr="00662A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 (</w:t>
            </w:r>
            <w:r w:rsidRPr="00662A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први спрат</w:t>
            </w: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) могу се добити све информације о начину подношења захтјева, а у циљу комплетирања захтјева и убрзања процедуре. </w:t>
            </w:r>
          </w:p>
          <w:p w:rsidR="00231B06" w:rsidRPr="00662A74" w:rsidRDefault="00231B06" w:rsidP="00231B0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1B06" w:rsidRPr="00662A74" w:rsidRDefault="00231B06" w:rsidP="00231B06">
            <w:pPr>
              <w:rPr>
                <w:sz w:val="20"/>
                <w:szCs w:val="20"/>
                <w:lang w:val="sr-Cyrl-CS"/>
              </w:rPr>
            </w:pPr>
          </w:p>
          <w:p w:rsidR="008B566C" w:rsidRPr="00EC0796" w:rsidRDefault="008B566C" w:rsidP="008B566C">
            <w:pPr>
              <w:pStyle w:val="CM11"/>
              <w:spacing w:line="23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ПОДНОШЕЊЕ ЗАХТЈЕВА </w:t>
            </w:r>
          </w:p>
          <w:p w:rsidR="00231B06" w:rsidRPr="00662A74" w:rsidRDefault="00231B06" w:rsidP="00231B06">
            <w:pPr>
              <w:rPr>
                <w:sz w:val="20"/>
                <w:szCs w:val="20"/>
                <w:lang w:val="sr-Cyrl-CS"/>
              </w:rPr>
            </w:pPr>
          </w:p>
          <w:p w:rsidR="006F0C6F" w:rsidRPr="00EC0796" w:rsidRDefault="006F0C6F" w:rsidP="006F0C6F">
            <w:pPr>
              <w:pStyle w:val="CM11"/>
              <w:spacing w:line="231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Захтјев за издавање употребн</w:t>
            </w:r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дозвол</w:t>
            </w:r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 инвеститор, односно власник објекта или његов правни сљедник, или извођач радова, када заједно са надзорним органом утврди да је објекат или његов дио изграђен у складу са грађевинском дозволом, предајом захтјева </w:t>
            </w:r>
            <w:r w:rsidRPr="00662A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Пријемној канцеларији</w:t>
            </w: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 протокол</w:t>
            </w:r>
            <w:r w:rsidRPr="00662A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(шалтер 2) </w:t>
            </w: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или путем поште. </w:t>
            </w:r>
          </w:p>
          <w:p w:rsidR="00231B06" w:rsidRPr="00662A74" w:rsidRDefault="00231B06" w:rsidP="00231B06">
            <w:pPr>
              <w:rPr>
                <w:sz w:val="20"/>
                <w:szCs w:val="20"/>
                <w:lang w:val="sr-Cyrl-CS"/>
              </w:rPr>
            </w:pPr>
          </w:p>
          <w:p w:rsidR="002B2887" w:rsidRPr="00EC0796" w:rsidRDefault="002B2887" w:rsidP="002B2887">
            <w:pPr>
              <w:pStyle w:val="CM11"/>
              <w:spacing w:line="231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Образац за подношење захтјева се може доб</w:t>
            </w:r>
            <w:r w:rsidR="0077606B"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ити у </w:t>
            </w:r>
            <w:r w:rsidR="0077606B" w:rsidRPr="00662A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Пријемној канцеларији</w:t>
            </w: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на </w:t>
            </w:r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662A7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</w:t>
            </w:r>
            <w:r w:rsidRPr="00662A74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www</w:t>
            </w:r>
            <w:r w:rsidRPr="00EC079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sr-Cyrl-CS"/>
              </w:rPr>
              <w:t>.</w:t>
            </w:r>
            <w:r w:rsidR="0077606B" w:rsidRPr="00662A74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sr-Latn-CS"/>
              </w:rPr>
              <w:t>opstinakotorvaros.com</w:t>
            </w:r>
            <w:r w:rsidR="0077606B"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) те </w:t>
            </w:r>
            <w:r w:rsidR="0077606B" w:rsidRPr="00662A7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 канцеларији број 29 (први спрат)</w:t>
            </w:r>
            <w:r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, а уз исти потребно је приложити: </w:t>
            </w:r>
          </w:p>
          <w:p w:rsidR="00662A74" w:rsidRPr="00662A74" w:rsidRDefault="00662A74" w:rsidP="00662A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62A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ab/>
              <w:t>1. Грађевинску дозволу са пројектом изведеног стања, уколико је израђен и овјерен у складу са чланом 104. овог закона,</w:t>
            </w:r>
          </w:p>
          <w:p w:rsidR="00662A74" w:rsidRPr="00662A74" w:rsidRDefault="00662A74" w:rsidP="00662A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62A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ab/>
              <w:t>2. Копију катастарског плана са снимљеним положајем објекта,</w:t>
            </w:r>
          </w:p>
          <w:p w:rsidR="00216C47" w:rsidRPr="00662A74" w:rsidRDefault="00662A74" w:rsidP="001A102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62A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ab/>
              <w:t>3. Доказ о извршеном снимању подземних инсталација,</w:t>
            </w:r>
          </w:p>
        </w:tc>
      </w:tr>
    </w:tbl>
    <w:p w:rsidR="00676733" w:rsidRDefault="00676733" w:rsidP="001A102B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536"/>
        <w:gridCol w:w="567"/>
        <w:gridCol w:w="4608"/>
      </w:tblGrid>
      <w:tr w:rsidR="00C16A25" w:rsidRPr="00EC0796" w:rsidTr="00EC079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16A25" w:rsidRPr="00292E0E" w:rsidRDefault="00C16A25" w:rsidP="00C16A2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2E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ab/>
              <w:t>4. Сагласности на изведено стање, када је то предвиђено посебним прописима</w:t>
            </w:r>
          </w:p>
          <w:p w:rsidR="00C16A25" w:rsidRPr="00292E0E" w:rsidRDefault="00C16A25" w:rsidP="00C16A2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2E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ab/>
              <w:t>- противпожарна сагласност,</w:t>
            </w:r>
          </w:p>
          <w:p w:rsidR="00C16A25" w:rsidRPr="00292E0E" w:rsidRDefault="00C16A25" w:rsidP="00C16A2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2E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ab/>
              <w:t>- водна дозвола,</w:t>
            </w:r>
          </w:p>
          <w:p w:rsidR="00C16A25" w:rsidRPr="00292E0E" w:rsidRDefault="00C16A25" w:rsidP="00C16A2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2E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ab/>
              <w:t>- сагласност Министарства здравља и сл.</w:t>
            </w:r>
          </w:p>
          <w:p w:rsidR="00C16A25" w:rsidRPr="00292E0E" w:rsidRDefault="00C16A25" w:rsidP="00C16A2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2E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ab/>
              <w:t>5. Извјештај надзорног органа,</w:t>
            </w:r>
          </w:p>
          <w:p w:rsidR="00C16A25" w:rsidRPr="00292E0E" w:rsidRDefault="00C16A25" w:rsidP="00C16A2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2E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ab/>
              <w:t>6. Изјаву извођача-власника о квалитету изведених радова за објекте који су грађени у властитој режији, за објекте обухваћене овим законом,</w:t>
            </w:r>
          </w:p>
          <w:p w:rsidR="00C16A25" w:rsidRPr="00292E0E" w:rsidRDefault="00C16A25" w:rsidP="00C16A2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2E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ab/>
              <w:t>7. Енергетски цертификат зграде, за објекте за које је то прописано,</w:t>
            </w:r>
          </w:p>
          <w:p w:rsidR="00C16A25" w:rsidRPr="00292E0E" w:rsidRDefault="00C16A25" w:rsidP="00C16A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2E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ab/>
              <w:t>8. Доказ о уплати општинске административне таксе у износу од 102,00 КМ, коју чине такса на захтјев у износу од 2,00 КМ и такса на рјешење у износу од 100,00 КМ, а према тарифним бројевима 1 и 24 Одлуке о општин. админ. таксама („Сл. гл. општ. К. В, број 15/13).</w:t>
            </w:r>
          </w:p>
          <w:p w:rsidR="00C16A25" w:rsidRPr="00292E0E" w:rsidRDefault="00C16A25" w:rsidP="001A102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92E0E" w:rsidRPr="00EC0796" w:rsidRDefault="00292E0E" w:rsidP="00292E0E">
            <w:pPr>
              <w:pStyle w:val="CM11"/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У случају када странку у поступку заступа пуномоћник уз захтјев је потребно приложити пуномоћ. </w:t>
            </w:r>
          </w:p>
          <w:p w:rsidR="00C16A25" w:rsidRPr="00292E0E" w:rsidRDefault="00C16A25" w:rsidP="001A102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92E0E" w:rsidRPr="00292E0E" w:rsidRDefault="00292E0E" w:rsidP="00292E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2E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ab/>
            </w:r>
            <w:r w:rsidRPr="00292E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Послије подношења комплетног захтјева врши се обрачун накнаде за рад комисије за технички преглед, а која зависи од врсте и величине објекта, те је послије уплате обрачунате накнаде потребно доставити доказ о уплати.</w:t>
            </w:r>
          </w:p>
          <w:p w:rsidR="00C16A25" w:rsidRPr="00292E0E" w:rsidRDefault="00C16A25" w:rsidP="001A102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5C5BC2" w:rsidRPr="00EC0796" w:rsidRDefault="005C5BC2" w:rsidP="005C5BC2">
            <w:pPr>
              <w:pStyle w:val="CM11"/>
              <w:spacing w:line="23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 xml:space="preserve">ТЕХНИЧКИ ПРЕГЛЕД </w:t>
            </w:r>
          </w:p>
          <w:p w:rsidR="00C16A25" w:rsidRPr="00292E0E" w:rsidRDefault="00C16A25" w:rsidP="001A102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5C5BC2" w:rsidRPr="00EC0796" w:rsidRDefault="005C5BC2" w:rsidP="005C5BC2">
            <w:pPr>
              <w:pStyle w:val="CM11"/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Технички преглед обухвата контролу усаглашености изведених радова са грађевинском дозволом и техничком документацијом на основу које је објекат изграђен, као и са техничким прописима и стандардима који се односе на поједине врсте радова, материјала, инсталација, опреме, уређаја и постројења. </w:t>
            </w:r>
          </w:p>
          <w:p w:rsidR="00C16A25" w:rsidRPr="00292E0E" w:rsidRDefault="00C16A25" w:rsidP="001A102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C1D30" w:rsidRPr="00EC0796" w:rsidRDefault="001C1D30" w:rsidP="001C1D30">
            <w:pPr>
              <w:pStyle w:val="CM11"/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Технички преглед објекта врши се по завршетку изградње објекта, односно свих радова предвиђених грађевинском дозволом. </w:t>
            </w:r>
          </w:p>
          <w:p w:rsidR="00C16A25" w:rsidRPr="00292E0E" w:rsidRDefault="00C16A25" w:rsidP="001A102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C1D30" w:rsidRPr="00EC0796" w:rsidRDefault="001C1D30" w:rsidP="001C1D30">
            <w:pPr>
              <w:pStyle w:val="CM11"/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Подносилац захтјева дужан је да, најкасније на дан техничког прегледа, комисији за технички преглед достави на увид слиједеће: </w:t>
            </w:r>
          </w:p>
          <w:p w:rsidR="00C16A25" w:rsidRPr="00292E0E" w:rsidRDefault="00C16A25" w:rsidP="001A102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A25" w:rsidRDefault="00C16A25" w:rsidP="001A102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24CD" w:rsidRPr="00EC0796" w:rsidRDefault="00F724CD" w:rsidP="00CB69BE">
            <w:pPr>
              <w:pStyle w:val="CM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- </w:t>
            </w:r>
            <w:r w:rsidR="00203C8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г</w:t>
            </w:r>
            <w:r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рађевинску дозволу са главним пројектом на основу којег је издата дозвола и пројекат изведеног стања уколико је израђен; </w:t>
            </w:r>
          </w:p>
          <w:p w:rsidR="00AC26B4" w:rsidRPr="00EC0796" w:rsidRDefault="00AC26B4" w:rsidP="00CB69BE">
            <w:pPr>
              <w:pStyle w:val="CM5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- </w:t>
            </w:r>
            <w:r w:rsidR="00203C8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</w:t>
            </w:r>
            <w:r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оказ о квалитету радова, грађевинских производа и опреме; </w:t>
            </w:r>
          </w:p>
          <w:p w:rsidR="00FF302C" w:rsidRPr="00EC0796" w:rsidRDefault="00FF302C" w:rsidP="00CB69B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="00203C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</w:t>
            </w: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окументацију о извршеним испитивањима и резултатима тестирања носивости конструкције, ако се посебним прописима тестирање захтијева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;</w:t>
            </w: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203C8F" w:rsidRPr="00EC0796" w:rsidRDefault="00203C8F" w:rsidP="00CB69B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г</w:t>
            </w: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рађевински дневник; </w:t>
            </w:r>
          </w:p>
          <w:p w:rsidR="00203C8F" w:rsidRPr="00EC0796" w:rsidRDefault="00203C8F" w:rsidP="00CB69B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грађевинску књигу за оне објекте за које је уговорена обавеза њеног вођења; </w:t>
            </w:r>
          </w:p>
          <w:p w:rsidR="00203C8F" w:rsidRPr="00203C8F" w:rsidRDefault="00203C8F" w:rsidP="00CB69B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EC07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књигу инспекција и </w:t>
            </w:r>
          </w:p>
          <w:p w:rsidR="00EA027B" w:rsidRDefault="00203C8F" w:rsidP="00CB69BE">
            <w:pPr>
              <w:pStyle w:val="CM11"/>
              <w:spacing w:line="231" w:lineRule="atLeast"/>
              <w:ind w:right="417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- </w:t>
            </w:r>
            <w:r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осталу документацију дефинисану</w:t>
            </w:r>
            <w:r w:rsidR="00EA027B"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посебним прописима у зависности од врсте објекта. </w:t>
            </w:r>
          </w:p>
          <w:p w:rsidR="00CB69BE" w:rsidRDefault="00CB69BE" w:rsidP="00CB69BE">
            <w:pPr>
              <w:rPr>
                <w:lang w:val="sr-Cyrl-CS"/>
              </w:rPr>
            </w:pPr>
          </w:p>
          <w:p w:rsidR="00CB69BE" w:rsidRDefault="00CB69BE" w:rsidP="00CB69B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Технички преглед обавља стручна комисија правног лица са листе.</w:t>
            </w:r>
          </w:p>
          <w:p w:rsidR="00CB69BE" w:rsidRPr="00CB69BE" w:rsidRDefault="00CB69BE" w:rsidP="00CB69B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16A25" w:rsidRDefault="00CB69BE" w:rsidP="00CB69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О обављеном техничком прегледу сачињава се записник у који се уноси и мишљење сваког члана комисије о томе да се изграђени објекат може користити, да се морају претходно отклонити утврђени недостаци, односно да се употребна дозвола не може издати</w:t>
            </w:r>
            <w:r w:rsidR="001B59D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  <w:p w:rsidR="001B59D9" w:rsidRDefault="001B59D9" w:rsidP="00CB6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B59D9" w:rsidRPr="00EC0796" w:rsidRDefault="001B59D9" w:rsidP="001B59D9">
            <w:pPr>
              <w:pStyle w:val="CM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Послије извршеног техничког прегледа комисија у року од осам дана сачињава извјештај у писаној форми о резултату техничког прегледа изграђеног објекта и исти доставља надлежном одјељењу. </w:t>
            </w:r>
          </w:p>
          <w:p w:rsidR="001B59D9" w:rsidRDefault="001B59D9" w:rsidP="00CB6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B59D9" w:rsidRPr="00EC0796" w:rsidRDefault="001B59D9" w:rsidP="001B59D9">
            <w:pPr>
              <w:pStyle w:val="CM1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 xml:space="preserve">ИЗДАВАЊЕ УПОТРЕБНЕ ДОЗВОЛЕ </w:t>
            </w:r>
          </w:p>
          <w:p w:rsidR="001B59D9" w:rsidRDefault="001B59D9" w:rsidP="00CB6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B59D9" w:rsidRDefault="001B59D9" w:rsidP="001B59D9">
            <w:pPr>
              <w:pStyle w:val="CM11"/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Уколико се на основу записника утврди да нема недостатака или да су уочени недостаци отклоњени, надлежни орган у року од осам дана од пријема записника издаје употребну дозволу. Ако су техничким прегледом утврђени недостаци које је потребно отклонити, надлежни орган рјешењем налаже да се утврђени недостаци у одређеном року отклоне. </w:t>
            </w:r>
          </w:p>
          <w:p w:rsidR="009C2852" w:rsidRPr="009C2852" w:rsidRDefault="009C2852" w:rsidP="009C2852">
            <w:pPr>
              <w:rPr>
                <w:lang w:val="sr-Cyrl-CS"/>
              </w:rPr>
            </w:pPr>
          </w:p>
          <w:p w:rsidR="001B59D9" w:rsidRPr="009C2852" w:rsidRDefault="009C2852" w:rsidP="009C2852">
            <w:pPr>
              <w:jc w:val="both"/>
              <w:rPr>
                <w:lang w:val="sr-Cyrl-CS"/>
              </w:rPr>
            </w:pPr>
            <w:r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Након отклањања недостатака подносилац захтјева о томе обавјештава надлежни орган и подноси доказе о отклањању недостатака.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Ако су наведени недостаци отклоњени, надлежни орган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A25" w:rsidRDefault="00C16A25" w:rsidP="001A102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721D5" w:rsidRPr="00EC0796" w:rsidRDefault="008721D5" w:rsidP="008721D5">
            <w:pPr>
              <w:pStyle w:val="CM11"/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издаје употребну дозволу у року од осам дана од дана обављеног поновног техничког прегледа. Уколико утврђени недостаци нису ни у накнадно остављеном року отклоњени, надлежни орган издаје рјешење о одбијању захтјева за издавање употребне дозволе и о томе обавјештава надлежну урбанистичко-грађевинску инспекцију. </w:t>
            </w:r>
          </w:p>
          <w:p w:rsidR="00C16A25" w:rsidRDefault="00C16A25" w:rsidP="001A102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721D5" w:rsidRDefault="008721D5" w:rsidP="007D5D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се врши накнадни технички преглед, послије извршених радова према рјешењу о отклањању утврђених недостатака, инвеститор плаћа 25% од утврђеног износа накнаде за технички преглед</w:t>
            </w:r>
            <w:r w:rsidR="007D5D6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а најмање 100,00 КМ.</w:t>
            </w:r>
          </w:p>
          <w:p w:rsidR="009D4557" w:rsidRDefault="009D4557" w:rsidP="007D5D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D4557" w:rsidRPr="00EC0796" w:rsidRDefault="009D4557" w:rsidP="009D4557">
            <w:pPr>
              <w:pStyle w:val="CM10"/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Клаузулу правоснажности на рјешење странка добија 15 дана од дана пријема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у канцеларији број 29 на првом спрату</w:t>
            </w:r>
            <w:r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. </w:t>
            </w:r>
          </w:p>
          <w:p w:rsidR="009D4557" w:rsidRDefault="009D4557" w:rsidP="007D5D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AE469A" w:rsidRDefault="00AE469A" w:rsidP="007D5D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AE469A" w:rsidRPr="00EC0796" w:rsidRDefault="00AE469A" w:rsidP="00AE469A">
            <w:pPr>
              <w:pStyle w:val="CM11"/>
              <w:spacing w:line="23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 w:rsidRPr="00EC07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 xml:space="preserve">ВАЖНО ЈЕ ЗНАТИ ЈОШ И... </w:t>
            </w:r>
          </w:p>
          <w:p w:rsidR="00AE469A" w:rsidRDefault="00AE469A" w:rsidP="007D5D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47C94" w:rsidRPr="00EC0796" w:rsidRDefault="00147C94" w:rsidP="00147C94">
            <w:pPr>
              <w:pStyle w:val="CM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EC079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Након добијања употребне дозволе и стављања клаузуле правоснажности стекли су се услови за коришћење објекта, те упис објекта у катастарски операт и у земљишну књигу. </w:t>
            </w:r>
          </w:p>
          <w:p w:rsidR="00147C94" w:rsidRDefault="00147C94" w:rsidP="007D5D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C16A25" w:rsidRPr="00EC0796" w:rsidRDefault="00C16A25" w:rsidP="001A102B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bookmarkStart w:id="0" w:name="_GoBack"/>
      <w:bookmarkEnd w:id="0"/>
    </w:p>
    <w:sectPr w:rsidR="00C16A25" w:rsidRPr="00EC0796" w:rsidSect="001A102B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 T 3 Bo 00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477366"/>
    <w:multiLevelType w:val="hybridMultilevel"/>
    <w:tmpl w:val="833F11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102B"/>
    <w:rsid w:val="00147C94"/>
    <w:rsid w:val="001518DC"/>
    <w:rsid w:val="001764A7"/>
    <w:rsid w:val="001A102B"/>
    <w:rsid w:val="001B59D9"/>
    <w:rsid w:val="001C1D30"/>
    <w:rsid w:val="00203C8F"/>
    <w:rsid w:val="00216C47"/>
    <w:rsid w:val="00231B06"/>
    <w:rsid w:val="00292E0E"/>
    <w:rsid w:val="002B2887"/>
    <w:rsid w:val="00334527"/>
    <w:rsid w:val="005C5BC2"/>
    <w:rsid w:val="00662A74"/>
    <w:rsid w:val="00676733"/>
    <w:rsid w:val="006F0C6F"/>
    <w:rsid w:val="0077606B"/>
    <w:rsid w:val="007D5D61"/>
    <w:rsid w:val="008721D5"/>
    <w:rsid w:val="008B566C"/>
    <w:rsid w:val="009C2852"/>
    <w:rsid w:val="009D4557"/>
    <w:rsid w:val="00A06D7E"/>
    <w:rsid w:val="00AC26B4"/>
    <w:rsid w:val="00AE469A"/>
    <w:rsid w:val="00C16A25"/>
    <w:rsid w:val="00C96A0B"/>
    <w:rsid w:val="00CB69BE"/>
    <w:rsid w:val="00D51FEC"/>
    <w:rsid w:val="00E00119"/>
    <w:rsid w:val="00EA027B"/>
    <w:rsid w:val="00EC0796"/>
    <w:rsid w:val="00F231DC"/>
    <w:rsid w:val="00F37B58"/>
    <w:rsid w:val="00F724CD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1">
    <w:name w:val="CM11"/>
    <w:basedOn w:val="Normal"/>
    <w:next w:val="Normal"/>
    <w:uiPriority w:val="99"/>
    <w:rsid w:val="00231B06"/>
    <w:pPr>
      <w:widowControl w:val="0"/>
      <w:autoSpaceDE w:val="0"/>
      <w:autoSpaceDN w:val="0"/>
      <w:adjustRightInd w:val="0"/>
      <w:spacing w:after="0" w:line="240" w:lineRule="auto"/>
    </w:pPr>
    <w:rPr>
      <w:rFonts w:ascii="T T 3 Bo 00" w:hAnsi="T T 3 Bo 00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F724CD"/>
    <w:pPr>
      <w:widowControl w:val="0"/>
      <w:autoSpaceDE w:val="0"/>
      <w:autoSpaceDN w:val="0"/>
      <w:adjustRightInd w:val="0"/>
      <w:spacing w:after="0" w:line="231" w:lineRule="atLeast"/>
    </w:pPr>
    <w:rPr>
      <w:rFonts w:ascii="T T 3 Bo 00" w:hAnsi="T T 3 Bo 00"/>
      <w:sz w:val="24"/>
      <w:szCs w:val="24"/>
    </w:rPr>
  </w:style>
  <w:style w:type="paragraph" w:customStyle="1" w:styleId="Default">
    <w:name w:val="Default"/>
    <w:rsid w:val="00FF302C"/>
    <w:pPr>
      <w:widowControl w:val="0"/>
      <w:autoSpaceDE w:val="0"/>
      <w:autoSpaceDN w:val="0"/>
      <w:adjustRightInd w:val="0"/>
      <w:spacing w:after="0" w:line="240" w:lineRule="auto"/>
    </w:pPr>
    <w:rPr>
      <w:rFonts w:ascii="T T 3 Bo 00" w:hAnsi="T T 3 Bo 00" w:cs="T T 3 Bo 00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1B59D9"/>
    <w:pPr>
      <w:spacing w:line="231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9D455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47C94"/>
    <w:pPr>
      <w:spacing w:line="231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06D7E"/>
    <w:pPr>
      <w:spacing w:line="291" w:lineRule="atLeast"/>
    </w:pPr>
    <w:rPr>
      <w:rFonts w:ascii="Times-New-Roman,Bold" w:hAnsi="Times-New-Roman,Bold"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C96A0B"/>
    <w:pPr>
      <w:spacing w:line="231" w:lineRule="atLeast"/>
    </w:pPr>
    <w:rPr>
      <w:rFonts w:ascii="Times-New-Roman,Bold" w:hAnsi="Times-New-Roman,Bol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19FC-DFB0-459A-B290-A8F96EC0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zeljkoz</dc:creator>
  <cp:keywords/>
  <dc:description/>
  <cp:lastModifiedBy>sloxslo</cp:lastModifiedBy>
  <cp:revision>32</cp:revision>
  <cp:lastPrinted>2016-05-05T12:36:00Z</cp:lastPrinted>
  <dcterms:created xsi:type="dcterms:W3CDTF">2016-05-05T10:31:00Z</dcterms:created>
  <dcterms:modified xsi:type="dcterms:W3CDTF">2016-06-29T05:51:00Z</dcterms:modified>
</cp:coreProperties>
</file>