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F" w:rsidRPr="00A35C2F" w:rsidRDefault="00A35C2F" w:rsidP="00A35C2F">
      <w:pPr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Verdana" w:eastAsia="Times New Roman" w:hAnsi="Verdana" w:cs="Times New Roman"/>
          <w:noProof/>
          <w:color w:val="336699"/>
          <w:sz w:val="13"/>
          <w:szCs w:val="13"/>
        </w:rPr>
        <w:drawing>
          <wp:inline distT="0" distB="0" distL="0" distR="0">
            <wp:extent cx="482600" cy="972185"/>
            <wp:effectExtent l="19050" t="0" r="0" b="0"/>
            <wp:docPr id="1" name="logo" descr="UND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ND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"/>
        <w:gridCol w:w="605"/>
        <w:gridCol w:w="830"/>
        <w:gridCol w:w="2393"/>
        <w:gridCol w:w="861"/>
      </w:tblGrid>
      <w:tr w:rsidR="00A35C2F" w:rsidRPr="00A35C2F" w:rsidTr="00A35C2F">
        <w:trPr>
          <w:tblCellSpacing w:w="0" w:type="dxa"/>
        </w:trPr>
        <w:tc>
          <w:tcPr>
            <w:tcW w:w="0" w:type="auto"/>
            <w:tcBorders>
              <w:left w:val="single" w:sz="4" w:space="0" w:color="003399"/>
              <w:bottom w:val="single" w:sz="4" w:space="0" w:color="333333"/>
              <w:right w:val="single" w:sz="4" w:space="0" w:color="003399"/>
            </w:tcBorders>
            <w:shd w:val="clear" w:color="auto" w:fill="003399"/>
            <w:noWrap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A35C2F" w:rsidRPr="00A35C2F" w:rsidRDefault="00A35C2F" w:rsidP="00A35C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 </w:t>
            </w:r>
          </w:p>
        </w:tc>
        <w:bookmarkStart w:id="0" w:name="amenu"/>
        <w:tc>
          <w:tcPr>
            <w:tcW w:w="0" w:type="auto"/>
            <w:tcBorders>
              <w:left w:val="single" w:sz="4" w:space="0" w:color="003399"/>
              <w:bottom w:val="single" w:sz="4" w:space="0" w:color="333333"/>
              <w:right w:val="single" w:sz="4" w:space="0" w:color="003399"/>
            </w:tcBorders>
            <w:shd w:val="clear" w:color="auto" w:fill="003399"/>
            <w:noWrap/>
            <w:tcMar>
              <w:top w:w="34" w:type="dxa"/>
              <w:left w:w="102" w:type="dxa"/>
              <w:bottom w:w="34" w:type="dxa"/>
              <w:right w:w="102" w:type="dxa"/>
            </w:tcMar>
            <w:vAlign w:val="center"/>
            <w:hideMark/>
          </w:tcPr>
          <w:p w:rsidR="00A35C2F" w:rsidRPr="00A35C2F" w:rsidRDefault="00A35C2F" w:rsidP="00A35C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begin"/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instrText xml:space="preserve"> HYPERLINK "http://www.undp.org/content/undp/en/home/operations/procurement/overview.html" </w:instrText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separate"/>
            </w:r>
            <w:r w:rsidRPr="00A35C2F">
              <w:rPr>
                <w:rFonts w:ascii="Verdana" w:eastAsia="Times New Roman" w:hAnsi="Verdana" w:cs="Times New Roman"/>
                <w:color w:val="FFFFFF"/>
                <w:sz w:val="13"/>
                <w:szCs w:val="13"/>
              </w:rPr>
              <w:t>Home</w:t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end"/>
            </w:r>
            <w:bookmarkEnd w:id="0"/>
          </w:p>
        </w:tc>
        <w:bookmarkStart w:id="1" w:name="rmenu"/>
        <w:tc>
          <w:tcPr>
            <w:tcW w:w="0" w:type="auto"/>
            <w:tcBorders>
              <w:left w:val="single" w:sz="4" w:space="0" w:color="003399"/>
              <w:bottom w:val="single" w:sz="4" w:space="0" w:color="333333"/>
              <w:right w:val="single" w:sz="4" w:space="0" w:color="003399"/>
            </w:tcBorders>
            <w:shd w:val="clear" w:color="auto" w:fill="003399"/>
            <w:noWrap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A35C2F" w:rsidRPr="00A35C2F" w:rsidRDefault="00A35C2F" w:rsidP="00A35C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begin"/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instrText xml:space="preserve"> HYPERLINK "http://www.undp.org/content/undp/en/home/operations/about_us.html" </w:instrText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separate"/>
            </w:r>
            <w:r w:rsidRPr="00A35C2F">
              <w:rPr>
                <w:rFonts w:ascii="Verdana" w:eastAsia="Times New Roman" w:hAnsi="Verdana" w:cs="Times New Roman"/>
                <w:color w:val="FFFFFF"/>
                <w:sz w:val="13"/>
                <w:szCs w:val="13"/>
              </w:rPr>
              <w:t>About UNDP</w:t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end"/>
            </w:r>
            <w:bookmarkEnd w:id="1"/>
          </w:p>
        </w:tc>
        <w:bookmarkStart w:id="2" w:name="mmenu"/>
        <w:tc>
          <w:tcPr>
            <w:tcW w:w="0" w:type="auto"/>
            <w:tcBorders>
              <w:left w:val="single" w:sz="4" w:space="0" w:color="003399"/>
              <w:bottom w:val="single" w:sz="4" w:space="0" w:color="333333"/>
              <w:right w:val="single" w:sz="4" w:space="0" w:color="003399"/>
            </w:tcBorders>
            <w:shd w:val="clear" w:color="auto" w:fill="003399"/>
            <w:noWrap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A35C2F" w:rsidRPr="00A35C2F" w:rsidRDefault="00A35C2F" w:rsidP="00A35C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begin"/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instrText xml:space="preserve"> HYPERLINK "http://www.undp.org/content/undp/en/home/sdgoverview/" </w:instrText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separate"/>
            </w:r>
            <w:r w:rsidRPr="00A35C2F">
              <w:rPr>
                <w:rFonts w:ascii="Verdana" w:eastAsia="Times New Roman" w:hAnsi="Verdana" w:cs="Times New Roman"/>
                <w:color w:val="FFFFFF"/>
                <w:sz w:val="13"/>
                <w:szCs w:val="13"/>
              </w:rPr>
              <w:t>The Sustainable Development Goals</w:t>
            </w: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left w:val="single" w:sz="4" w:space="0" w:color="003399"/>
              <w:bottom w:val="single" w:sz="4" w:space="0" w:color="333333"/>
              <w:right w:val="single" w:sz="4" w:space="0" w:color="003399"/>
            </w:tcBorders>
            <w:shd w:val="clear" w:color="auto" w:fill="003399"/>
            <w:noWrap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A35C2F" w:rsidRPr="00A35C2F" w:rsidRDefault="00A35C2F" w:rsidP="00A35C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hyperlink r:id="rId7" w:history="1">
              <w:r w:rsidRPr="00A35C2F">
                <w:rPr>
                  <w:rFonts w:ascii="Verdana" w:eastAsia="Times New Roman" w:hAnsi="Verdana" w:cs="Times New Roman"/>
                  <w:color w:val="FFFFFF"/>
                  <w:sz w:val="13"/>
                  <w:szCs w:val="13"/>
                </w:rPr>
                <w:t>News Centre</w:t>
              </w:r>
            </w:hyperlink>
          </w:p>
        </w:tc>
      </w:tr>
    </w:tbl>
    <w:p w:rsidR="00A35C2F" w:rsidRPr="00A35C2F" w:rsidRDefault="00A35C2F" w:rsidP="00A35C2F">
      <w:pPr>
        <w:shd w:val="clear" w:color="auto" w:fill="FFFFFF"/>
        <w:spacing w:after="0" w:line="312" w:lineRule="auto"/>
        <w:outlineLvl w:val="3"/>
        <w:rPr>
          <w:rFonts w:ascii="Trebuchet MS" w:eastAsia="Times New Roman" w:hAnsi="Trebuchet MS" w:cs="Times New Roman"/>
          <w:color w:val="333333"/>
          <w:sz w:val="16"/>
          <w:szCs w:val="16"/>
        </w:rPr>
      </w:pPr>
      <w:hyperlink r:id="rId8" w:history="1">
        <w:r w:rsidRPr="00A35C2F">
          <w:rPr>
            <w:rFonts w:ascii="Trebuchet MS" w:eastAsia="Times New Roman" w:hAnsi="Trebuchet MS" w:cs="Times New Roman"/>
            <w:color w:val="333333"/>
            <w:sz w:val="16"/>
            <w:szCs w:val="16"/>
          </w:rPr>
          <w:t>United Nations Development Programme</w:t>
        </w:r>
      </w:hyperlink>
    </w:p>
    <w:p w:rsidR="00A35C2F" w:rsidRPr="00A35C2F" w:rsidRDefault="00A35C2F" w:rsidP="00A35C2F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3399"/>
          <w:kern w:val="36"/>
          <w:sz w:val="30"/>
          <w:szCs w:val="30"/>
        </w:rPr>
      </w:pPr>
      <w:r w:rsidRPr="00A35C2F">
        <w:rPr>
          <w:rFonts w:ascii="Trebuchet MS" w:eastAsia="Times New Roman" w:hAnsi="Trebuchet MS" w:cs="Times New Roman"/>
          <w:color w:val="003399"/>
          <w:kern w:val="36"/>
          <w:sz w:val="30"/>
          <w:szCs w:val="30"/>
        </w:rPr>
        <w:t xml:space="preserve">Procurement Notices </w:t>
      </w:r>
    </w:p>
    <w:p w:rsidR="00A35C2F" w:rsidRPr="00A35C2F" w:rsidRDefault="00A35C2F" w:rsidP="00A35C2F">
      <w:pPr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A35C2F">
        <w:rPr>
          <w:rFonts w:ascii="Verdana" w:eastAsia="Times New Roman" w:hAnsi="Verdana" w:cs="Times New Roman"/>
          <w:color w:val="333333"/>
          <w:sz w:val="13"/>
          <w:szCs w:val="13"/>
        </w:rPr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94"/>
        <w:gridCol w:w="7718"/>
      </w:tblGrid>
      <w:tr w:rsidR="00A35C2F" w:rsidRPr="00A35C2F" w:rsidTr="00A35C2F">
        <w:trPr>
          <w:tblCellSpacing w:w="0" w:type="dxa"/>
        </w:trPr>
        <w:tc>
          <w:tcPr>
            <w:tcW w:w="900" w:type="pct"/>
            <w:tcBorders>
              <w:right w:val="single" w:sz="4" w:space="0" w:color="BCB8B6"/>
            </w:tcBorders>
            <w:shd w:val="clear" w:color="auto" w:fill="F9F9F9"/>
            <w:tcMar>
              <w:top w:w="0" w:type="dxa"/>
              <w:left w:w="0" w:type="dxa"/>
              <w:bottom w:w="283" w:type="dxa"/>
              <w:right w:w="0" w:type="dxa"/>
            </w:tcMar>
            <w:hideMark/>
          </w:tcPr>
          <w:p w:rsidR="00A35C2F" w:rsidRPr="00A35C2F" w:rsidRDefault="00A35C2F" w:rsidP="00A35C2F">
            <w:pPr>
              <w:pBdr>
                <w:top w:val="single" w:sz="4" w:space="2" w:color="FFFFFF"/>
                <w:left w:val="single" w:sz="4" w:space="6" w:color="FFFFFF"/>
              </w:pBdr>
              <w:shd w:val="clear" w:color="auto" w:fill="E6E6E6"/>
              <w:spacing w:after="0" w:line="312" w:lineRule="auto"/>
              <w:outlineLvl w:val="3"/>
              <w:rPr>
                <w:rFonts w:ascii="Trebuchet MS" w:eastAsia="Times New Roman" w:hAnsi="Trebuchet MS" w:cs="Times New Roman"/>
                <w:color w:val="003399"/>
                <w:sz w:val="15"/>
                <w:szCs w:val="15"/>
              </w:rPr>
            </w:pPr>
            <w:r w:rsidRPr="00A35C2F">
              <w:rPr>
                <w:rFonts w:ascii="Trebuchet MS" w:eastAsia="Times New Roman" w:hAnsi="Trebuchet MS" w:cs="Times New Roman"/>
                <w:color w:val="003399"/>
                <w:sz w:val="15"/>
                <w:szCs w:val="15"/>
              </w:rPr>
              <w:t>General information</w:t>
            </w:r>
          </w:p>
          <w:p w:rsidR="00A35C2F" w:rsidRPr="00A35C2F" w:rsidRDefault="00A35C2F" w:rsidP="00A35C2F">
            <w:pPr>
              <w:numPr>
                <w:ilvl w:val="0"/>
                <w:numId w:val="1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9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>Procurement at UNDP</w:t>
              </w:r>
            </w:hyperlink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</w:t>
            </w:r>
          </w:p>
          <w:p w:rsidR="00A35C2F" w:rsidRPr="00A35C2F" w:rsidRDefault="00A35C2F" w:rsidP="00A35C2F">
            <w:pPr>
              <w:numPr>
                <w:ilvl w:val="0"/>
                <w:numId w:val="1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0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>Sustainable procurement</w:t>
              </w:r>
            </w:hyperlink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</w:t>
            </w:r>
          </w:p>
          <w:p w:rsidR="00A35C2F" w:rsidRPr="00A35C2F" w:rsidRDefault="00A35C2F" w:rsidP="00A35C2F">
            <w:pPr>
              <w:numPr>
                <w:ilvl w:val="0"/>
                <w:numId w:val="1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1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>Procurement training</w:t>
              </w:r>
            </w:hyperlink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</w:t>
            </w:r>
          </w:p>
          <w:p w:rsidR="00A35C2F" w:rsidRPr="00A35C2F" w:rsidRDefault="00A35C2F" w:rsidP="00A35C2F">
            <w:pPr>
              <w:numPr>
                <w:ilvl w:val="0"/>
                <w:numId w:val="1"/>
              </w:numPr>
              <w:spacing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2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>About us</w:t>
              </w:r>
            </w:hyperlink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</w:t>
            </w:r>
          </w:p>
          <w:p w:rsidR="00A35C2F" w:rsidRPr="00A35C2F" w:rsidRDefault="00A35C2F" w:rsidP="00A35C2F">
            <w:pPr>
              <w:pBdr>
                <w:top w:val="single" w:sz="4" w:space="2" w:color="FFFFFF"/>
                <w:left w:val="single" w:sz="4" w:space="6" w:color="FFFFFF"/>
              </w:pBdr>
              <w:shd w:val="clear" w:color="auto" w:fill="E6E6E6"/>
              <w:spacing w:after="0" w:line="312" w:lineRule="auto"/>
              <w:outlineLvl w:val="3"/>
              <w:rPr>
                <w:rFonts w:ascii="Trebuchet MS" w:eastAsia="Times New Roman" w:hAnsi="Trebuchet MS" w:cs="Times New Roman"/>
                <w:color w:val="003399"/>
                <w:sz w:val="15"/>
                <w:szCs w:val="15"/>
              </w:rPr>
            </w:pPr>
            <w:r w:rsidRPr="00A35C2F">
              <w:rPr>
                <w:rFonts w:ascii="Trebuchet MS" w:eastAsia="Times New Roman" w:hAnsi="Trebuchet MS" w:cs="Times New Roman"/>
                <w:color w:val="003399"/>
                <w:sz w:val="15"/>
                <w:szCs w:val="15"/>
              </w:rPr>
              <w:t>Business opportunities</w:t>
            </w:r>
          </w:p>
          <w:p w:rsidR="00A35C2F" w:rsidRPr="00A35C2F" w:rsidRDefault="00A35C2F" w:rsidP="00A35C2F">
            <w:pPr>
              <w:numPr>
                <w:ilvl w:val="0"/>
                <w:numId w:val="2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3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>Procurement notices</w:t>
              </w:r>
            </w:hyperlink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</w:t>
            </w:r>
          </w:p>
          <w:p w:rsidR="00A35C2F" w:rsidRPr="00A35C2F" w:rsidRDefault="00A35C2F" w:rsidP="00A35C2F">
            <w:pPr>
              <w:numPr>
                <w:ilvl w:val="0"/>
                <w:numId w:val="2"/>
              </w:numPr>
              <w:spacing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4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>Contract awards</w:t>
              </w:r>
            </w:hyperlink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</w:t>
            </w:r>
          </w:p>
          <w:p w:rsidR="00A35C2F" w:rsidRPr="00A35C2F" w:rsidRDefault="00A35C2F" w:rsidP="00A35C2F">
            <w:pPr>
              <w:pBdr>
                <w:top w:val="single" w:sz="4" w:space="2" w:color="FFFFFF"/>
                <w:left w:val="single" w:sz="4" w:space="6" w:color="FFFFFF"/>
              </w:pBdr>
              <w:shd w:val="clear" w:color="auto" w:fill="E6E6E6"/>
              <w:spacing w:after="0" w:line="312" w:lineRule="auto"/>
              <w:outlineLvl w:val="3"/>
              <w:rPr>
                <w:rFonts w:ascii="Trebuchet MS" w:eastAsia="Times New Roman" w:hAnsi="Trebuchet MS" w:cs="Times New Roman"/>
                <w:color w:val="003399"/>
                <w:sz w:val="15"/>
                <w:szCs w:val="15"/>
              </w:rPr>
            </w:pPr>
            <w:r w:rsidRPr="00A35C2F">
              <w:rPr>
                <w:rFonts w:ascii="Trebuchet MS" w:eastAsia="Times New Roman" w:hAnsi="Trebuchet MS" w:cs="Times New Roman"/>
                <w:color w:val="003399"/>
                <w:sz w:val="15"/>
                <w:szCs w:val="15"/>
              </w:rPr>
              <w:t xml:space="preserve">Vendors </w:t>
            </w:r>
          </w:p>
          <w:p w:rsidR="00A35C2F" w:rsidRPr="00A35C2F" w:rsidRDefault="00A35C2F" w:rsidP="00A35C2F">
            <w:pPr>
              <w:numPr>
                <w:ilvl w:val="0"/>
                <w:numId w:val="3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5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 xml:space="preserve">Doing business with UNDP </w:t>
              </w:r>
            </w:hyperlink>
          </w:p>
          <w:p w:rsidR="00A35C2F" w:rsidRPr="00A35C2F" w:rsidRDefault="00A35C2F" w:rsidP="00A35C2F">
            <w:pPr>
              <w:numPr>
                <w:ilvl w:val="0"/>
                <w:numId w:val="3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6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 xml:space="preserve">How we buy </w:t>
              </w:r>
            </w:hyperlink>
          </w:p>
          <w:p w:rsidR="00A35C2F" w:rsidRPr="00A35C2F" w:rsidRDefault="00A35C2F" w:rsidP="00A35C2F">
            <w:pPr>
              <w:numPr>
                <w:ilvl w:val="0"/>
                <w:numId w:val="3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7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 xml:space="preserve">Qualifications and eligibility </w:t>
              </w:r>
            </w:hyperlink>
          </w:p>
          <w:p w:rsidR="00A35C2F" w:rsidRPr="00A35C2F" w:rsidRDefault="00A35C2F" w:rsidP="00A35C2F">
            <w:pPr>
              <w:numPr>
                <w:ilvl w:val="0"/>
                <w:numId w:val="3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8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 xml:space="preserve">Protest and sanctions </w:t>
              </w:r>
            </w:hyperlink>
          </w:p>
          <w:p w:rsidR="00A35C2F" w:rsidRPr="00A35C2F" w:rsidRDefault="00A35C2F" w:rsidP="00A35C2F">
            <w:pPr>
              <w:numPr>
                <w:ilvl w:val="0"/>
                <w:numId w:val="3"/>
              </w:numPr>
              <w:spacing w:after="0"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19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>Supplier ethics/code of conduct</w:t>
              </w:r>
            </w:hyperlink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(pdf) </w:t>
            </w:r>
          </w:p>
          <w:p w:rsidR="00A35C2F" w:rsidRPr="00A35C2F" w:rsidRDefault="00A35C2F" w:rsidP="00A35C2F">
            <w:pPr>
              <w:numPr>
                <w:ilvl w:val="0"/>
                <w:numId w:val="3"/>
              </w:numPr>
              <w:spacing w:line="240" w:lineRule="auto"/>
              <w:ind w:left="0" w:right="57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hyperlink r:id="rId20" w:tgtFrame="_blank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 xml:space="preserve">More information for bidders </w:t>
              </w:r>
            </w:hyperlink>
          </w:p>
        </w:tc>
        <w:tc>
          <w:tcPr>
            <w:tcW w:w="0" w:type="auto"/>
            <w:tcMar>
              <w:top w:w="0" w:type="dxa"/>
              <w:left w:w="193" w:type="dxa"/>
              <w:bottom w:w="340" w:type="dxa"/>
              <w:right w:w="340" w:type="dxa"/>
            </w:tcMar>
            <w:hideMark/>
          </w:tcPr>
          <w:p w:rsidR="00A35C2F" w:rsidRPr="00A35C2F" w:rsidRDefault="00A35C2F" w:rsidP="00A35C2F">
            <w:pPr>
              <w:shd w:val="clear" w:color="auto" w:fill="F6F6F6"/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hyperlink r:id="rId21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  <w:szCs w:val="13"/>
                  <w:u w:val="single"/>
                </w:rPr>
                <w:t>Current Procurement Notices</w:t>
              </w:r>
            </w:hyperlink>
          </w:p>
          <w:p w:rsidR="00A35C2F" w:rsidRPr="00A35C2F" w:rsidRDefault="00A35C2F" w:rsidP="00A35C2F">
            <w:pPr>
              <w:shd w:val="clear" w:color="auto" w:fill="EEEEEE"/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 </w:t>
            </w:r>
          </w:p>
          <w:p w:rsidR="00A35C2F" w:rsidRPr="00A35C2F" w:rsidRDefault="00A35C2F" w:rsidP="00A35C2F">
            <w:pPr>
              <w:shd w:val="clear" w:color="auto" w:fill="F6F6F6"/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hyperlink r:id="rId22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  <w:szCs w:val="13"/>
                  <w:u w:val="single"/>
                </w:rPr>
                <w:t>Search Notices</w:t>
              </w:r>
            </w:hyperlink>
          </w:p>
          <w:p w:rsidR="00A35C2F" w:rsidRPr="00A35C2F" w:rsidRDefault="00A35C2F" w:rsidP="00A35C2F">
            <w:pPr>
              <w:shd w:val="clear" w:color="auto" w:fill="F6F6F6"/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hyperlink r:id="rId23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  <w:szCs w:val="13"/>
                  <w:u w:val="single"/>
                </w:rPr>
                <w:t>Awards</w:t>
              </w:r>
            </w:hyperlink>
          </w:p>
          <w:p w:rsidR="00A35C2F" w:rsidRPr="00A35C2F" w:rsidRDefault="00A35C2F" w:rsidP="00A35C2F">
            <w:pPr>
              <w:shd w:val="clear" w:color="auto" w:fill="EEEEEE"/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</w:pPr>
            <w:r w:rsidRPr="00A35C2F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br w:type="textWrapping" w:clear="all"/>
            </w:r>
          </w:p>
          <w:p w:rsidR="00A35C2F" w:rsidRPr="00A35C2F" w:rsidRDefault="00A35C2F" w:rsidP="00A35C2F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  <w:p w:rsidR="00A35C2F" w:rsidRPr="00A35C2F" w:rsidRDefault="00A35C2F" w:rsidP="00A35C2F">
            <w:pPr>
              <w:pBdr>
                <w:bottom w:val="dotted" w:sz="4" w:space="2" w:color="666666"/>
              </w:pBdr>
              <w:spacing w:before="57" w:after="34" w:line="312" w:lineRule="auto"/>
              <w:outlineLvl w:val="2"/>
              <w:rPr>
                <w:rFonts w:ascii="Trebuchet MS" w:eastAsia="Times New Roman" w:hAnsi="Trebuchet MS" w:cs="Times New Roman"/>
                <w:color w:val="003399"/>
                <w:sz w:val="19"/>
                <w:szCs w:val="19"/>
              </w:rPr>
            </w:pPr>
            <w:r w:rsidRPr="00A35C2F">
              <w:rPr>
                <w:rFonts w:ascii="Trebuchet MS" w:eastAsia="Times New Roman" w:hAnsi="Trebuchet MS" w:cs="Times New Roman"/>
                <w:color w:val="003399"/>
                <w:sz w:val="19"/>
                <w:szCs w:val="19"/>
              </w:rPr>
              <w:t>View Notice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09"/>
              <w:gridCol w:w="2105"/>
              <w:gridCol w:w="71"/>
            </w:tblGrid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Poziv organizacijama civilnog društva (OCD) za podnošenje prijedloga projekata za jačanje aktivnijeg uključivanja OCD, građana i lokalnih zajednica u procesima upravljanja lokalnim razvojem</w:t>
                  </w:r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Procurement Process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Other</w:t>
                  </w:r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Office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 xml:space="preserve">UNDP CO BIH - BOSNIA AND HERZEGOVINA </w:t>
                  </w:r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Deadline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07-Jun-19</w:t>
                  </w:r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Posted on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22-May-19</w:t>
                  </w:r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Development Area 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Reference Number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55933</w:t>
                  </w:r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Link to Atlas Project :</w:t>
                  </w: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br/>
                    <w:t>00091324 - Integrated Local Development phase III</w:t>
                  </w:r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Documents :</w:t>
                  </w: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 xml:space="preserve"> </w:t>
                  </w: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br/>
                  </w:r>
                  <w:hyperlink r:id="rId24" w:tgtFrame="_blank" w:history="1">
                    <w:r w:rsidRPr="00A35C2F">
                      <w:rPr>
                        <w:rFonts w:ascii="Verdana" w:eastAsia="Times New Roman" w:hAnsi="Verdana" w:cs="Times New Roman"/>
                        <w:color w:val="336699"/>
                        <w:sz w:val="13"/>
                        <w:szCs w:val="13"/>
                        <w:u w:val="single"/>
                      </w:rPr>
                      <w:t>Obrazac projektnog prijedloga</w:t>
                    </w:r>
                  </w:hyperlink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br/>
                  </w:r>
                  <w:hyperlink r:id="rId25" w:tgtFrame="_blank" w:history="1">
                    <w:r w:rsidRPr="00A35C2F">
                      <w:rPr>
                        <w:rFonts w:ascii="Verdana" w:eastAsia="Times New Roman" w:hAnsi="Verdana" w:cs="Times New Roman"/>
                        <w:color w:val="336699"/>
                        <w:sz w:val="13"/>
                        <w:szCs w:val="13"/>
                        <w:u w:val="single"/>
                      </w:rPr>
                      <w:t>Smjernice za podnosioce projektnih prijedloga OCD_III krug</w:t>
                    </w:r>
                  </w:hyperlink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br/>
                  </w:r>
                  <w:hyperlink r:id="rId26" w:tgtFrame="_blank" w:history="1">
                    <w:r w:rsidRPr="00A35C2F">
                      <w:rPr>
                        <w:rFonts w:ascii="Verdana" w:eastAsia="Times New Roman" w:hAnsi="Verdana" w:cs="Times New Roman"/>
                        <w:color w:val="336699"/>
                        <w:sz w:val="13"/>
                        <w:szCs w:val="13"/>
                        <w:u w:val="single"/>
                      </w:rPr>
                      <w:t>Prilog I_Budzet</w:t>
                    </w:r>
                  </w:hyperlink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br/>
                  </w:r>
                  <w:hyperlink r:id="rId27" w:tgtFrame="_blank" w:history="1">
                    <w:r w:rsidRPr="00A35C2F">
                      <w:rPr>
                        <w:rFonts w:ascii="Verdana" w:eastAsia="Times New Roman" w:hAnsi="Verdana" w:cs="Times New Roman"/>
                        <w:color w:val="336699"/>
                        <w:sz w:val="13"/>
                        <w:szCs w:val="13"/>
                        <w:u w:val="single"/>
                      </w:rPr>
                      <w:t>Prilog II_Izjava o partnerstvu</w:t>
                    </w:r>
                  </w:hyperlink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br/>
                  </w:r>
                  <w:hyperlink r:id="rId28" w:tgtFrame="_blank" w:history="1">
                    <w:r w:rsidRPr="00A35C2F">
                      <w:rPr>
                        <w:rFonts w:ascii="Verdana" w:eastAsia="Times New Roman" w:hAnsi="Verdana" w:cs="Times New Roman"/>
                        <w:color w:val="336699"/>
                        <w:sz w:val="13"/>
                        <w:szCs w:val="13"/>
                        <w:u w:val="single"/>
                      </w:rPr>
                      <w:t>Prilog III_Administrativni podaci</w:t>
                    </w:r>
                  </w:hyperlink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br/>
                  </w:r>
                  <w:hyperlink r:id="rId29" w:tgtFrame="_blank" w:history="1">
                    <w:r w:rsidRPr="00A35C2F">
                      <w:rPr>
                        <w:rFonts w:ascii="Verdana" w:eastAsia="Times New Roman" w:hAnsi="Verdana" w:cs="Times New Roman"/>
                        <w:color w:val="336699"/>
                        <w:sz w:val="13"/>
                        <w:szCs w:val="13"/>
                        <w:u w:val="single"/>
                      </w:rPr>
                      <w:t>Prilog IV_Finansijski podaci</w:t>
                    </w:r>
                  </w:hyperlink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br/>
                  </w:r>
                  <w:hyperlink r:id="rId30" w:tgtFrame="_blank" w:history="1">
                    <w:r w:rsidRPr="00A35C2F">
                      <w:rPr>
                        <w:rFonts w:ascii="Verdana" w:eastAsia="Times New Roman" w:hAnsi="Verdana" w:cs="Times New Roman"/>
                        <w:color w:val="336699"/>
                        <w:sz w:val="13"/>
                        <w:szCs w:val="13"/>
                        <w:u w:val="single"/>
                      </w:rPr>
                      <w:t>Prilog V_Kontrolne liste</w:t>
                    </w:r>
                  </w:hyperlink>
                </w:p>
              </w:tc>
            </w:tr>
            <w:tr w:rsidR="00A35C2F" w:rsidRPr="00A35C2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A35C2F" w:rsidRPr="00A35C2F" w:rsidRDefault="00A35C2F" w:rsidP="00A35C2F">
                  <w:pPr>
                    <w:spacing w:before="170" w:after="170" w:line="240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 xml:space="preserve">Overview : 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Projekat integriranog lokalnog razvoja (ILDP) III upućuje poziv organizacijama civilnog društva (OCD) za podnošenje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prijedloga projekata za jačanje aktivnijeg uključivanja OCD, građana i lokalnih zajednica u procesima upravljanja lokalnim razvojem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 xml:space="preserve">Projekat integrisanog lokalnog razvoja (ILDP) je </w:t>
                  </w:r>
                  <w:bookmarkStart w:id="3" w:name="_Hlk1743890"/>
                  <w:r w:rsidRPr="00A35C2F">
                    <w:rPr>
                      <w:rFonts w:ascii="Verdana" w:eastAsia="Times New Roman" w:hAnsi="Verdana" w:cs="Times New Roman"/>
                      <w:color w:val="336699"/>
                      <w:sz w:val="13"/>
                      <w:szCs w:val="13"/>
                      <w:u w:val="single"/>
                    </w:rPr>
                    <w:t xml:space="preserve">zajednički projekat Vlade Švicarske i </w:t>
                  </w:r>
                  <w:bookmarkEnd w:id="3"/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UNDP-a koji ima za cilj osnažiti lokalni razvoj kroz uvođenje sistemskog pristupa strateškom planiranju, implementaciji, praćenju i evaluaciji realizacije razvojnih planova, te harmonizaciji sistema planiranja na lokalnom nivou sa onima na višim nivoima vlasti.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 xml:space="preserve">Glavni cilj projekta na lokalnom nivou je da pomogne domaćim akterima u izradi i provedbi integrirane </w:t>
                  </w: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lastRenderedPageBreak/>
                    <w:t>lokalne razvojne strategije. Također, nužna je i snažna participacija građana i lokalne zajednice, gdje organizacije civilnog društva predstavljaju važnu kariku u procesima informisanja i animiranja građana da aktivno učestvuju u razvojnim procesima, od utvrđivanja razvojnih potreba i prioriteta do nadgledanja nad provedbom razvojnih procesa i intervencija, rezultata i njihovih efekata na život građana.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U sklopu aktivnosti podrške na lokalnom nivou, ILDP želi kroz ovaj poziv podržati i razvoj kapaciteta OCD u partnerskim JLS sa ciljem jačanja aktivnijeg uključivanja OCD, građana i lokalnih zajednica u procese upravljanja razvojem, kako bi im se omogućilo da se na adekvatan način uključe, proaktivno djeluju te analiziraju i izvještavaju/ informišu  o razvoju zajednice. 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U sklopu ovog poziva će biti podržana tri projekta, gdje će se prvo rangirani projekat podržati sa 7,000 KM, a drugo rangirani projekat sa 4,500 KM te treće rangirani projekti sa 3,000 KM.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Način podnošenja prijave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Pozivaju se sve zainteresirane organizacije civilnog društva (OCD), koje zadovoljavaju preduslove poziva, da učestvuju u otvorenom i konkurentnom procesu odabira projekata za jačanje aktivnijeg uključivanja OCD, građana i lokalnih zajednica u procesima upravljanja lokalnim razvojem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Mole se organizacije civilnog društva (OCD, koje se prijavljuju na poziv, da dostave sve obavezne dokumente za prijavu, onako kako je to pojedinačno naglašeno u Smjernicama za podnosioce prijava. Aplikanti svoje prijave na učešće i dodatne dokumente treba da dostave u jednom originalnom primjerku i 1 kopiji A4 veličine,  te na CD-u ili USB-u.  putem preporučene pošte, privatne poštanske usluge ili lično na slijedeću adresu: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Razvojni program Ujedinjenih naroda u Bosni i Hercegovini (UNDP BiH)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 xml:space="preserve">„Projekat integriranog lokalnog razvoja“ (ILDP III)  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UN House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Zmaja od Bosne bb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71000 Sarajevo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Bosna i Hercegovina</w:t>
                  </w:r>
                </w:p>
                <w:p w:rsidR="00A35C2F" w:rsidRPr="00A35C2F" w:rsidRDefault="00A35C2F" w:rsidP="00A35C2F">
                  <w:pPr>
                    <w:spacing w:before="100" w:beforeAutospacing="1" w:after="100" w:afterAutospacing="1" w:line="312" w:lineRule="auto"/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</w:pP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 </w:t>
                  </w: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 xml:space="preserve">Sve prijave za učešće, u skladu sa ovim Pozivom i pripadajućim Smjernicama, trebaju biti dostavljene najkasnije do 07.juna 2019. godine (petak), do 15:00 sati. </w:t>
                  </w: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 xml:space="preserve">Prijave na učešće podnešene na druge načine (npr. faks ili email) </w:t>
                  </w:r>
                  <w:r w:rsidRPr="00A35C2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3"/>
                    </w:rPr>
                    <w:t>neće biti uzete u razmatranje</w:t>
                  </w:r>
                  <w:r w:rsidRPr="00A35C2F">
                    <w:rPr>
                      <w:rFonts w:ascii="Verdana" w:eastAsia="Times New Roman" w:hAnsi="Verdana" w:cs="Times New Roman"/>
                      <w:color w:val="333333"/>
                      <w:sz w:val="13"/>
                      <w:szCs w:val="13"/>
                    </w:rPr>
                    <w:t>.</w:t>
                  </w:r>
                </w:p>
              </w:tc>
            </w:tr>
          </w:tbl>
          <w:p w:rsidR="00A35C2F" w:rsidRPr="00A35C2F" w:rsidRDefault="00A35C2F" w:rsidP="00A35C2F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A35C2F" w:rsidRPr="00A35C2F" w:rsidTr="00A35C2F">
        <w:trPr>
          <w:tblCellSpacing w:w="0" w:type="dxa"/>
        </w:trPr>
        <w:tc>
          <w:tcPr>
            <w:tcW w:w="900" w:type="pct"/>
            <w:tcBorders>
              <w:bottom w:val="single" w:sz="4" w:space="0" w:color="BCB8B6"/>
              <w:right w:val="single" w:sz="4" w:space="0" w:color="BCB8B6"/>
            </w:tcBorders>
            <w:shd w:val="clear" w:color="auto" w:fill="F9F9F9"/>
            <w:tcMar>
              <w:top w:w="0" w:type="dxa"/>
              <w:left w:w="0" w:type="dxa"/>
              <w:bottom w:w="283" w:type="dxa"/>
              <w:right w:w="0" w:type="dxa"/>
            </w:tcMar>
            <w:vAlign w:val="bottom"/>
            <w:hideMark/>
          </w:tcPr>
          <w:p w:rsidR="00A35C2F" w:rsidRPr="00A35C2F" w:rsidRDefault="00A35C2F" w:rsidP="00A35C2F">
            <w:pPr>
              <w:spacing w:before="79" w:after="79" w:line="312" w:lineRule="auto"/>
              <w:ind w:left="147" w:right="79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lastRenderedPageBreak/>
              <w:br/>
              <w:t xml:space="preserve">^ </w:t>
            </w:r>
            <w:hyperlink r:id="rId31" w:anchor="top" w:history="1">
              <w:r w:rsidRPr="00A35C2F">
                <w:rPr>
                  <w:rFonts w:ascii="Verdana" w:eastAsia="Times New Roman" w:hAnsi="Verdana" w:cs="Times New Roman"/>
                  <w:color w:val="336699"/>
                  <w:sz w:val="13"/>
                </w:rPr>
                <w:t>Back to top</w:t>
              </w:r>
            </w:hyperlink>
            <w:r w:rsidRPr="00A35C2F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227" w:type="dxa"/>
              <w:bottom w:w="340" w:type="dxa"/>
              <w:right w:w="340" w:type="dxa"/>
            </w:tcMar>
            <w:vAlign w:val="bottom"/>
            <w:hideMark/>
          </w:tcPr>
          <w:p w:rsidR="00A35C2F" w:rsidRPr="00A35C2F" w:rsidRDefault="00A35C2F" w:rsidP="00A35C2F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11"/>
                <w:szCs w:val="11"/>
              </w:rPr>
            </w:pPr>
          </w:p>
        </w:tc>
      </w:tr>
    </w:tbl>
    <w:p w:rsidR="00000000" w:rsidRDefault="00A35C2F"/>
    <w:sectPr w:rsidR="00000000" w:rsidSect="00A35C2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10FB3366"/>
    <w:multiLevelType w:val="multilevel"/>
    <w:tmpl w:val="0A9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00E03"/>
    <w:multiLevelType w:val="multilevel"/>
    <w:tmpl w:val="6476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A0B17"/>
    <w:multiLevelType w:val="multilevel"/>
    <w:tmpl w:val="3F0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A35C2F"/>
    <w:rsid w:val="00A3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5C2F"/>
    <w:pPr>
      <w:pBdr>
        <w:bottom w:val="dotted" w:sz="4" w:space="2" w:color="666666"/>
      </w:pBdr>
      <w:spacing w:before="57" w:after="34" w:line="312" w:lineRule="auto"/>
      <w:outlineLvl w:val="2"/>
    </w:pPr>
    <w:rPr>
      <w:rFonts w:ascii="Trebuchet MS" w:eastAsia="Times New Roman" w:hAnsi="Trebuchet MS" w:cs="Times New Roman"/>
      <w:color w:val="003399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5C2F"/>
    <w:rPr>
      <w:rFonts w:ascii="Trebuchet MS" w:eastAsia="Times New Roman" w:hAnsi="Trebuchet MS" w:cs="Times New Roman"/>
      <w:color w:val="003399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A35C2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35C2F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C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9926">
          <w:marLeft w:val="0"/>
          <w:marRight w:val="0"/>
          <w:marTop w:val="0"/>
          <w:marBottom w:val="227"/>
          <w:divBdr>
            <w:top w:val="single" w:sz="4" w:space="0" w:color="BCB8B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854">
          <w:marLeft w:val="0"/>
          <w:marRight w:val="0"/>
          <w:marTop w:val="0"/>
          <w:marBottom w:val="227"/>
          <w:divBdr>
            <w:top w:val="single" w:sz="4" w:space="0" w:color="BCB8B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04">
          <w:marLeft w:val="0"/>
          <w:marRight w:val="0"/>
          <w:marTop w:val="0"/>
          <w:marBottom w:val="227"/>
          <w:divBdr>
            <w:top w:val="single" w:sz="4" w:space="0" w:color="BCB8B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109">
              <w:marLeft w:val="79"/>
              <w:marRight w:val="0"/>
              <w:marTop w:val="0"/>
              <w:marBottom w:val="0"/>
              <w:divBdr>
                <w:top w:val="single" w:sz="4" w:space="2" w:color="BBBBBB"/>
                <w:left w:val="single" w:sz="4" w:space="5" w:color="BBBBBB"/>
                <w:bottom w:val="none" w:sz="0" w:space="0" w:color="auto"/>
                <w:right w:val="single" w:sz="4" w:space="9" w:color="BBBBBB"/>
              </w:divBdr>
            </w:div>
            <w:div w:id="1568304504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354">
              <w:marLeft w:val="79"/>
              <w:marRight w:val="0"/>
              <w:marTop w:val="0"/>
              <w:marBottom w:val="0"/>
              <w:divBdr>
                <w:top w:val="single" w:sz="4" w:space="2" w:color="BBBBBB"/>
                <w:left w:val="single" w:sz="4" w:space="5" w:color="BBBBBB"/>
                <w:bottom w:val="none" w:sz="0" w:space="0" w:color="auto"/>
                <w:right w:val="single" w:sz="4" w:space="9" w:color="BBBBBB"/>
              </w:divBdr>
            </w:div>
            <w:div w:id="319892080">
              <w:marLeft w:val="79"/>
              <w:marRight w:val="0"/>
              <w:marTop w:val="0"/>
              <w:marBottom w:val="0"/>
              <w:divBdr>
                <w:top w:val="single" w:sz="4" w:space="2" w:color="BBBBBB"/>
                <w:left w:val="single" w:sz="4" w:space="5" w:color="BBBBBB"/>
                <w:bottom w:val="none" w:sz="0" w:space="0" w:color="auto"/>
                <w:right w:val="single" w:sz="4" w:space="9" w:color="BBBBB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-notices.undp.org/" TargetMode="External"/><Relationship Id="rId13" Type="http://schemas.openxmlformats.org/officeDocument/2006/relationships/hyperlink" Target="http://procurement-notices.undp.org/" TargetMode="External"/><Relationship Id="rId18" Type="http://schemas.openxmlformats.org/officeDocument/2006/relationships/hyperlink" Target="http://www.undp.org/content/undp/en/home/operations/procurement/business/protest-and-sanctions/" TargetMode="External"/><Relationship Id="rId26" Type="http://schemas.openxmlformats.org/officeDocument/2006/relationships/hyperlink" Target="http://procurement-notices.undp.org/view_file.cfm?doc_id=1768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curement-notices.undp.org/index.cfm" TargetMode="External"/><Relationship Id="rId7" Type="http://schemas.openxmlformats.org/officeDocument/2006/relationships/hyperlink" Target="http://www.undp.org/content/undp/en/home/presscenter.html" TargetMode="External"/><Relationship Id="rId12" Type="http://schemas.openxmlformats.org/officeDocument/2006/relationships/hyperlink" Target="http://www.undp.org/content/undp/en/home/operations/procurement/about-us/" TargetMode="External"/><Relationship Id="rId17" Type="http://schemas.openxmlformats.org/officeDocument/2006/relationships/hyperlink" Target="http://www.undp.org/content/undp/en/home/operations/procurement/business/qualifications/" TargetMode="External"/><Relationship Id="rId25" Type="http://schemas.openxmlformats.org/officeDocument/2006/relationships/hyperlink" Target="http://procurement-notices.undp.org/view_file.cfm?doc_id=17689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dp.org/content/undp/en/home/operations/procurement/business/how-we-buy/" TargetMode="External"/><Relationship Id="rId20" Type="http://schemas.openxmlformats.org/officeDocument/2006/relationships/hyperlink" Target="http://www.undp.org/content/undp/en/home/operations/procurement/business/procurement-notices/resources/" TargetMode="External"/><Relationship Id="rId29" Type="http://schemas.openxmlformats.org/officeDocument/2006/relationships/hyperlink" Target="http://procurement-notices.undp.org/view_file.cfm?doc_id=1769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undp.org/content/undp/en/home/operations/procurement/procurement-training/" TargetMode="External"/><Relationship Id="rId24" Type="http://schemas.openxmlformats.org/officeDocument/2006/relationships/hyperlink" Target="http://procurement-notices.undp.org/view_file.cfm?doc_id=17689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rocurement-notices.undp.org/" TargetMode="External"/><Relationship Id="rId15" Type="http://schemas.openxmlformats.org/officeDocument/2006/relationships/hyperlink" Target="http://www.undp.org/content/undp/en/home/operations/procurement/business/" TargetMode="External"/><Relationship Id="rId23" Type="http://schemas.openxmlformats.org/officeDocument/2006/relationships/hyperlink" Target="http://procurement-notices.undp.org/view_awards.cfm" TargetMode="External"/><Relationship Id="rId28" Type="http://schemas.openxmlformats.org/officeDocument/2006/relationships/hyperlink" Target="http://procurement-notices.undp.org/view_file.cfm?doc_id=176899" TargetMode="External"/><Relationship Id="rId10" Type="http://schemas.openxmlformats.org/officeDocument/2006/relationships/hyperlink" Target="http://www.undp.org/content/undp/en/home/operations/procurement/sustainable-procurement/" TargetMode="External"/><Relationship Id="rId19" Type="http://schemas.openxmlformats.org/officeDocument/2006/relationships/hyperlink" Target="http://www.undp.org/content/dam/undp/documents/procurement/documents/UNDP_supplier_code_of_conduct.pdf" TargetMode="External"/><Relationship Id="rId31" Type="http://schemas.openxmlformats.org/officeDocument/2006/relationships/hyperlink" Target="http://procurement-notices.undp.org/view_notice.cfm?notice_id=55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p.org/content/undp/en/home/operations/procurement/procurement/" TargetMode="External"/><Relationship Id="rId14" Type="http://schemas.openxmlformats.org/officeDocument/2006/relationships/hyperlink" Target="http://procurement-notices.undp.org/view_awards.cfm" TargetMode="External"/><Relationship Id="rId22" Type="http://schemas.openxmlformats.org/officeDocument/2006/relationships/hyperlink" Target="http://procurement-notices.undp.org/search.cfm" TargetMode="External"/><Relationship Id="rId27" Type="http://schemas.openxmlformats.org/officeDocument/2006/relationships/hyperlink" Target="http://procurement-notices.undp.org/view_file.cfm?doc_id=176898" TargetMode="External"/><Relationship Id="rId30" Type="http://schemas.openxmlformats.org/officeDocument/2006/relationships/hyperlink" Target="http://procurement-notices.undp.org/view_file.cfm?doc_id=17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2019-05-24T12:53:00Z</cp:lastPrinted>
  <dcterms:created xsi:type="dcterms:W3CDTF">2019-05-24T12:53:00Z</dcterms:created>
  <dcterms:modified xsi:type="dcterms:W3CDTF">2019-05-24T12:53:00Z</dcterms:modified>
</cp:coreProperties>
</file>